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20" w:rsidRPr="00A505E5" w:rsidRDefault="00BD2735" w:rsidP="00584B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Miasta i </w:t>
      </w:r>
      <w:r w:rsidR="00584B20"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Stepnica</w:t>
      </w:r>
    </w:p>
    <w:p w:rsidR="00584B20" w:rsidRPr="00A505E5" w:rsidRDefault="00584B20" w:rsidP="00584B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ogłasza otwarty i konkurencyjny nabór </w:t>
      </w:r>
    </w:p>
    <w:p w:rsidR="00584B20" w:rsidRPr="00A505E5" w:rsidRDefault="00584B20" w:rsidP="00584B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wolne stanowisko urzędnicze </w:t>
      </w:r>
    </w:p>
    <w:p w:rsidR="00584B20" w:rsidRPr="00A505E5" w:rsidRDefault="00584B20" w:rsidP="00584B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Urzędzie </w:t>
      </w:r>
      <w:r w:rsidR="00784256"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Miasta i </w:t>
      </w:r>
      <w:r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w Stepnicy</w:t>
      </w:r>
    </w:p>
    <w:p w:rsidR="000E17E7" w:rsidRPr="00A505E5" w:rsidRDefault="000E17E7" w:rsidP="00584B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T. Kościuszki 4, 72-112 Stepnica</w:t>
      </w:r>
    </w:p>
    <w:p w:rsidR="00A77907" w:rsidRPr="00A505E5" w:rsidRDefault="00A77907" w:rsidP="00584B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B20" w:rsidRPr="00A505E5" w:rsidRDefault="00584B20" w:rsidP="000352FF">
      <w:pPr>
        <w:numPr>
          <w:ilvl w:val="3"/>
          <w:numId w:val="1"/>
        </w:numPr>
        <w:tabs>
          <w:tab w:val="num" w:pos="284"/>
        </w:tabs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Stanowisko pracy: </w:t>
      </w:r>
    </w:p>
    <w:p w:rsidR="00584B20" w:rsidRPr="00A505E5" w:rsidRDefault="008F4141" w:rsidP="00A779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K</w:t>
      </w:r>
      <w:r w:rsidR="000C1AC2"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sięgowy</w:t>
      </w:r>
      <w:r w:rsidR="001C4F73"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Urzędu </w:t>
      </w:r>
    </w:p>
    <w:p w:rsidR="008F4141" w:rsidRPr="00A505E5" w:rsidRDefault="008F4141" w:rsidP="00A779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4141" w:rsidRPr="00A505E5" w:rsidRDefault="008F4141" w:rsidP="008F4141">
      <w:pPr>
        <w:numPr>
          <w:ilvl w:val="3"/>
          <w:numId w:val="1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konkursu może przystąpić osoba, która spełnia n/wym</w:t>
      </w:r>
      <w:r w:rsidR="00FC7CC0"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wymagania, określone w art. 54 ust. 2 ustawy o finansach publicznych, tj.:</w:t>
      </w:r>
    </w:p>
    <w:p w:rsidR="000656D9" w:rsidRPr="00A505E5" w:rsidRDefault="000656D9" w:rsidP="008F4141">
      <w:pPr>
        <w:tabs>
          <w:tab w:val="num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656D9" w:rsidRPr="00A505E5" w:rsidRDefault="000656D9" w:rsidP="000352FF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ma obywatelstwo polskie,</w:t>
      </w:r>
    </w:p>
    <w:p w:rsidR="000656D9" w:rsidRPr="00A505E5" w:rsidRDefault="000656D9" w:rsidP="000352FF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z pełni praw publicznych,</w:t>
      </w:r>
    </w:p>
    <w:p w:rsidR="000656D9" w:rsidRPr="00A505E5" w:rsidRDefault="000656D9" w:rsidP="000352FF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skarbowe,</w:t>
      </w:r>
    </w:p>
    <w:p w:rsidR="000656D9" w:rsidRPr="00A505E5" w:rsidRDefault="000656D9" w:rsidP="000352FF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znajomość języka polskiego w mowie i piśmie w zakresie koniecznym do wykonywania obowiązków głównego księgowego,</w:t>
      </w:r>
    </w:p>
    <w:p w:rsidR="000656D9" w:rsidRPr="00A505E5" w:rsidRDefault="000656D9" w:rsidP="000352FF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 poniższych warunków:</w:t>
      </w:r>
    </w:p>
    <w:p w:rsidR="000656D9" w:rsidRPr="00A505E5" w:rsidRDefault="000656D9" w:rsidP="000352FF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0656D9" w:rsidRPr="00A505E5" w:rsidRDefault="000656D9" w:rsidP="000352FF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średnią, policealną lub pomaturalną szkołę ekonomiczną i posiada co najmniej 6-letnią praktykę w księgowości,</w:t>
      </w:r>
    </w:p>
    <w:p w:rsidR="000656D9" w:rsidRPr="00A505E5" w:rsidRDefault="000656D9" w:rsidP="000352FF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wpisana do rejestru biegłych rewidentów na podstawie odrębnych przepisów,</w:t>
      </w:r>
    </w:p>
    <w:p w:rsidR="000656D9" w:rsidRPr="00A505E5" w:rsidRDefault="000656D9" w:rsidP="000352FF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584B20" w:rsidRPr="00A505E5" w:rsidRDefault="00584B20" w:rsidP="00584B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41" w:rsidRPr="00A505E5" w:rsidRDefault="00584B20" w:rsidP="008F4141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8F4141"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niezbędne:</w:t>
      </w:r>
    </w:p>
    <w:p w:rsidR="008F4141" w:rsidRPr="00A505E5" w:rsidRDefault="008F4141" w:rsidP="008F4141">
      <w:pPr>
        <w:tabs>
          <w:tab w:val="num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F4141" w:rsidRPr="00A505E5" w:rsidRDefault="008F4141" w:rsidP="000804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przepisów ustawy o finansach publicznych wraz z aktami wykonawczymi do tej ustawy,</w:t>
      </w:r>
    </w:p>
    <w:p w:rsidR="008F4141" w:rsidRPr="00A505E5" w:rsidRDefault="008F4141" w:rsidP="000804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zasad funkcjonowania administracji publicznej, w tym samorządu terytorialnego,</w:t>
      </w:r>
    </w:p>
    <w:p w:rsidR="008F4141" w:rsidRPr="00A505E5" w:rsidRDefault="008F4141" w:rsidP="000804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przepisów prawnych z zakresu prawa samorządowego, administracyjnego (kodeks postępowania administracyjnego, instrukcja kancelaryjna),</w:t>
      </w:r>
    </w:p>
    <w:p w:rsidR="008F4141" w:rsidRPr="00A505E5" w:rsidRDefault="008F4141" w:rsidP="000804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regulacji prawnych z zakresu rachunkowośc</w:t>
      </w:r>
      <w:r w:rsidR="00080411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i i sprawozdawczości budżetowej oraz operacji finansowych jst,</w:t>
      </w:r>
    </w:p>
    <w:p w:rsidR="00080411" w:rsidRPr="00A505E5" w:rsidRDefault="00080411" w:rsidP="000804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sporządzania sprawozdań i analiz,</w:t>
      </w:r>
    </w:p>
    <w:p w:rsidR="008F4141" w:rsidRPr="00A505E5" w:rsidRDefault="008F4141" w:rsidP="000804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znajomość przepisów z zakresu prawa pracy, ubezpieczeń społecznych oraz podatku dochodowego od osób fizycznych, </w:t>
      </w:r>
    </w:p>
    <w:p w:rsidR="008F4141" w:rsidRPr="00A505E5" w:rsidRDefault="008F4141" w:rsidP="000804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przepisów dotyczących podatku od towarów i usług,</w:t>
      </w:r>
    </w:p>
    <w:p w:rsidR="008F4141" w:rsidRPr="00A505E5" w:rsidRDefault="008F4141" w:rsidP="000804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</w:t>
      </w:r>
      <w:r w:rsidR="00080411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ć zasad klasyfikacji budżetowej,</w:t>
      </w:r>
    </w:p>
    <w:p w:rsidR="00080411" w:rsidRPr="00A505E5" w:rsidRDefault="00080411" w:rsidP="000804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biegłego posługiwania się narzędziami informatycznymi (środowisko Windows (Word, Excel), Płatnik, programy finansowo-księgowe oraz  płacowe SIGID, </w:t>
      </w:r>
      <w:r w:rsidR="00546FB1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Besti@), ePFRON,</w:t>
      </w:r>
      <w:r w:rsidR="00FC7CC0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portal ZUS i portal eRu. </w:t>
      </w:r>
    </w:p>
    <w:p w:rsidR="008F4141" w:rsidRDefault="008F4141" w:rsidP="008F41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w administracji samorządowej na stanowisku księgowego lub głównego księgowego,</w:t>
      </w:r>
    </w:p>
    <w:p w:rsidR="00233C5B" w:rsidRPr="00A505E5" w:rsidRDefault="00233C5B" w:rsidP="00233C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141" w:rsidRPr="00A505E5" w:rsidRDefault="008F4141" w:rsidP="00053F78">
      <w:pPr>
        <w:tabs>
          <w:tab w:val="num" w:pos="28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861" w:rsidRPr="00A505E5" w:rsidRDefault="00053F78" w:rsidP="000352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</w:t>
      </w:r>
      <w:r w:rsidR="00584B20"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dodatkowe:</w:t>
      </w:r>
    </w:p>
    <w:p w:rsidR="00F24C0E" w:rsidRPr="00A505E5" w:rsidRDefault="00F24C0E" w:rsidP="004728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00278" w:rsidRPr="00A505E5" w:rsidRDefault="00900278" w:rsidP="000352FF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   sumienność, terminowość</w:t>
      </w:r>
      <w:r w:rsidR="00BC0E75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352FF" w:rsidRPr="00A505E5" w:rsidRDefault="00472861" w:rsidP="000352FF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  <w:r w:rsidR="000A6E5F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2861" w:rsidRPr="00A505E5" w:rsidRDefault="00472861" w:rsidP="000352FF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dobrej organizacji pracy,</w:t>
      </w:r>
      <w:r w:rsidR="000A6E5F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samodzielność,</w:t>
      </w:r>
    </w:p>
    <w:p w:rsidR="000A6E5F" w:rsidRPr="00A505E5" w:rsidRDefault="000A6E5F" w:rsidP="000352FF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</w:t>
      </w:r>
      <w:r w:rsidR="00900278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 osobista,</w:t>
      </w:r>
    </w:p>
    <w:p w:rsidR="00900278" w:rsidRPr="00A505E5" w:rsidRDefault="00900278" w:rsidP="000352FF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:rsidR="000A6E5F" w:rsidRPr="00A505E5" w:rsidRDefault="00900278" w:rsidP="000352FF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stres,</w:t>
      </w:r>
    </w:p>
    <w:p w:rsidR="00053F78" w:rsidRPr="00A505E5" w:rsidRDefault="00053F78" w:rsidP="000352FF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E44EDE" w:rsidRPr="00A505E5" w:rsidRDefault="00E44EDE" w:rsidP="001F3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7E7" w:rsidRPr="00A505E5" w:rsidRDefault="00A13379" w:rsidP="0003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44EDE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E17E7"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Warunki pracy </w:t>
      </w:r>
    </w:p>
    <w:p w:rsidR="000E17E7" w:rsidRPr="00A505E5" w:rsidRDefault="00E44EDE" w:rsidP="000E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352FF" w:rsidRPr="00A505E5" w:rsidRDefault="000E17E7" w:rsidP="00035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administracyjno-biurowa</w:t>
      </w:r>
      <w:r w:rsidR="00053F78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6FB1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wykonywana </w:t>
      </w:r>
      <w:r w:rsidR="00053F78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Urzędu Miasta i Gminy </w:t>
      </w:r>
      <w:r w:rsidR="00546FB1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w Stepnicy w wymiarze 1</w:t>
      </w:r>
      <w:r w:rsidR="00053F78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etatu.</w:t>
      </w:r>
    </w:p>
    <w:p w:rsidR="00A13379" w:rsidRPr="00A505E5" w:rsidRDefault="00C60720" w:rsidP="00035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6F30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352FF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3379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A13379"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Informacja o wskaźniku zatrudnienia osób niepełnosprawnych</w:t>
      </w:r>
    </w:p>
    <w:p w:rsidR="00A13379" w:rsidRPr="00A505E5" w:rsidRDefault="00A13379" w:rsidP="00035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B20" w:rsidRPr="00A505E5" w:rsidRDefault="00FF6F30" w:rsidP="00035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urzędzie, w rozumieniu przepisów o rehabilitacji zawodowej i społecznej oraz zatrudnianiu osób niepełnosprawnych, </w:t>
      </w:r>
      <w:r w:rsidRPr="00A50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wynosi co najmniej 6%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4B20" w:rsidRPr="00A505E5" w:rsidRDefault="00584B20" w:rsidP="00035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B20" w:rsidRPr="00A505E5" w:rsidRDefault="00A13379" w:rsidP="000352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584B20"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wykonywanych zadań na stanowisku:</w:t>
      </w:r>
    </w:p>
    <w:p w:rsidR="00F24C0E" w:rsidRPr="00A505E5" w:rsidRDefault="00F24C0E" w:rsidP="00584B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1273A" w:rsidRPr="00A505E5" w:rsidRDefault="0051273A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prowadzenie rachunkowo</w:t>
      </w:r>
      <w:r w:rsidRPr="00A50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 jednostki zgodnie z obowiązującymi przepisami i zasadami,</w:t>
      </w:r>
    </w:p>
    <w:p w:rsidR="0051273A" w:rsidRPr="00A505E5" w:rsidRDefault="0051273A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bie</w:t>
      </w:r>
      <w:r w:rsidRPr="00A50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żące i prawidłowe prowadzenie księgowości,</w:t>
      </w:r>
    </w:p>
    <w:p w:rsidR="0051273A" w:rsidRPr="00A505E5" w:rsidRDefault="0051273A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zorganizowanie sporz</w:t>
      </w:r>
      <w:r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ądzania, przyjmowania, obiegu, archiwizowania i kontroli </w:t>
      </w:r>
      <w:r w:rsidRPr="00A50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dokumentów,</w:t>
      </w:r>
    </w:p>
    <w:p w:rsidR="0051273A" w:rsidRPr="00A505E5" w:rsidRDefault="0051273A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opracowywanie plan</w:t>
      </w:r>
      <w:r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ów i sporządzanie sprawozdawczości jednostki,</w:t>
      </w:r>
    </w:p>
    <w:p w:rsidR="00A13379" w:rsidRPr="00A505E5" w:rsidRDefault="00A13379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opracowywanie sprawozdawczości statystycznej i innych prac statystycznych, </w:t>
      </w:r>
    </w:p>
    <w:p w:rsidR="00052525" w:rsidRPr="00A505E5" w:rsidRDefault="00052525" w:rsidP="00052525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przygotowywanie uzgodnionych i sprawdzonych materia</w:t>
      </w:r>
      <w:r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łów do rocznych bilansów,</w:t>
      </w:r>
    </w:p>
    <w:p w:rsidR="0051273A" w:rsidRPr="00A505E5" w:rsidRDefault="0051273A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prowadzenie bieżącej analizy sytuacji finansowej,</w:t>
      </w:r>
    </w:p>
    <w:p w:rsidR="0051273A" w:rsidRPr="00A505E5" w:rsidRDefault="0051273A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opracowywanie projekt</w:t>
      </w:r>
      <w:r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ów przepisów wewnętrznych dotyczących prowadzenia</w:t>
      </w:r>
      <w:r w:rsidRPr="00A505E5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  <w:t xml:space="preserve"> </w:t>
      </w:r>
      <w:r w:rsidRPr="00A505E5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pl-PL"/>
        </w:rPr>
        <w:t>rachunkowo</w:t>
      </w:r>
      <w:r w:rsidRPr="00A505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ści, a w szczególności - zakładowego planu kont, obiegu dokumentów,</w:t>
      </w:r>
    </w:p>
    <w:p w:rsidR="0051273A" w:rsidRPr="00A505E5" w:rsidRDefault="0051273A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prowadzenie analitycznej księgowości wydatków i kosztów budżetowych,</w:t>
      </w:r>
    </w:p>
    <w:p w:rsidR="0051273A" w:rsidRPr="00A505E5" w:rsidRDefault="0051273A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prowadzenie analitycznej księgowości r</w:t>
      </w:r>
      <w:r w:rsidR="00471625" w:rsidRPr="00A50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ozrachunków</w:t>
      </w:r>
      <w:r w:rsidRPr="00A50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i sum depozytowych,</w:t>
      </w:r>
    </w:p>
    <w:p w:rsidR="00A13379" w:rsidRPr="00A505E5" w:rsidRDefault="00A13379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pl-PL"/>
        </w:rPr>
        <w:t xml:space="preserve">naliczanie i </w:t>
      </w:r>
      <w:r w:rsidR="0051273A" w:rsidRPr="00A505E5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pl-PL"/>
        </w:rPr>
        <w:t>sporz</w:t>
      </w:r>
      <w:r w:rsidR="0051273A" w:rsidRPr="00A50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ądzanie list płac</w:t>
      </w:r>
      <w:r w:rsidRPr="00A50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dotyczących wynagrodzeń i zasiłków chorobowych</w:t>
      </w:r>
      <w:r w:rsidR="0051273A" w:rsidRPr="00A50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,</w:t>
      </w:r>
    </w:p>
    <w:p w:rsidR="0051273A" w:rsidRPr="00A505E5" w:rsidRDefault="0051273A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dokonywanie rozliczeń z</w:t>
      </w:r>
      <w:r w:rsidR="00A13379" w:rsidRPr="00A505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tytułu rozrachunków publiczno</w:t>
      </w:r>
      <w:r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prawnych,</w:t>
      </w:r>
    </w:p>
    <w:p w:rsidR="0051273A" w:rsidRPr="00A505E5" w:rsidRDefault="0051273A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prowadzenie kart wynagrodze</w:t>
      </w:r>
      <w:r w:rsidRPr="00A50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 pracowników,</w:t>
      </w:r>
    </w:p>
    <w:p w:rsidR="0051273A" w:rsidRPr="00A505E5" w:rsidRDefault="0051273A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okresowe uzgadnianie ksi</w:t>
      </w:r>
      <w:r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ęgowości analitycznej z odpowiednimi kontami syntetycznymi               i ze stanem faktycznym,</w:t>
      </w:r>
    </w:p>
    <w:p w:rsidR="0051273A" w:rsidRPr="00A505E5" w:rsidRDefault="0051273A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sporz</w:t>
      </w:r>
      <w:r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ądzanie informacji i sprawozdań z zakresu zatrudnienia i wykonywania funduszu </w:t>
      </w:r>
      <w:r w:rsidRPr="00A505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płac,</w:t>
      </w:r>
    </w:p>
    <w:p w:rsidR="0051273A" w:rsidRPr="00A505E5" w:rsidRDefault="0051273A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wsp</w:t>
      </w:r>
      <w:r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ółpraca z komisją inwentaryzacyjną w zakresie wyceny spisanych składników </w:t>
      </w:r>
      <w:r w:rsidRPr="00A50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majątkowych i ustalanie różnic inwentaryzacyjnych,</w:t>
      </w:r>
    </w:p>
    <w:p w:rsidR="0051273A" w:rsidRPr="00A505E5" w:rsidRDefault="0051273A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naliczanie podatku dochodowego od p</w:t>
      </w:r>
      <w:r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łac, umów zleceń oraz sporządzanie informacji                       i deklaracji z tego zakresu,</w:t>
      </w:r>
    </w:p>
    <w:p w:rsidR="00546FB1" w:rsidRPr="00A505E5" w:rsidRDefault="00546FB1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naliczanie podatku od towarów i usług,</w:t>
      </w:r>
    </w:p>
    <w:p w:rsidR="00A13379" w:rsidRPr="00A505E5" w:rsidRDefault="00A13379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  <w:t>dokonywanie wstępnej kontroli zgodności operacji gospodarczych i finansowych z planem finansowym,</w:t>
      </w:r>
    </w:p>
    <w:p w:rsidR="00A13379" w:rsidRPr="00A505E5" w:rsidRDefault="00A13379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  <w:t>dokonywanie wstępnej kontroli kompletności i rzetelności dokumentów dotyczących operacji gospodarczych i finansowych,</w:t>
      </w:r>
    </w:p>
    <w:p w:rsidR="00052525" w:rsidRPr="00A505E5" w:rsidRDefault="00052525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  <w:t>dokonywanie przelewów środków pieniężnych,</w:t>
      </w:r>
    </w:p>
    <w:p w:rsidR="00052525" w:rsidRPr="00A505E5" w:rsidRDefault="00052525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  <w:t>rozliczanie jednostki z Urzędem Skarbowym i ZUS,</w:t>
      </w:r>
    </w:p>
    <w:p w:rsidR="00052525" w:rsidRPr="00A505E5" w:rsidRDefault="00052525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  <w:lastRenderedPageBreak/>
        <w:t>rozliczanie ZFŚS,</w:t>
      </w:r>
    </w:p>
    <w:p w:rsidR="0051273A" w:rsidRPr="00A505E5" w:rsidRDefault="0051273A" w:rsidP="0051273A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8" w:lineRule="exact"/>
        <w:ind w:left="350" w:right="-9" w:hanging="350"/>
        <w:jc w:val="both"/>
        <w:rPr>
          <w:rFonts w:ascii="Times New Roman" w:eastAsiaTheme="minorEastAsia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odpowiedzialno</w:t>
      </w:r>
      <w:r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ść za formalno-rachunkową stronę dokumentacji księgowej,</w:t>
      </w:r>
    </w:p>
    <w:p w:rsidR="0051273A" w:rsidRPr="00A505E5" w:rsidRDefault="0051273A" w:rsidP="0051273A">
      <w:pPr>
        <w:framePr w:h="855" w:hSpace="38" w:vSpace="58" w:wrap="auto" w:vAnchor="text" w:hAnchor="page" w:x="9875" w:y="40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1273A" w:rsidRPr="00A505E5" w:rsidRDefault="0051273A" w:rsidP="0051273A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pl-PL"/>
        </w:rPr>
      </w:pPr>
      <w:r w:rsidRPr="00A505E5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pl-PL"/>
        </w:rPr>
        <w:t>prowadzenie ksi</w:t>
      </w:r>
      <w:r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ęgowo</w:t>
      </w:r>
      <w:r w:rsidR="00420865"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ści kasy zapomogowo-pożyczkowej,</w:t>
      </w:r>
    </w:p>
    <w:p w:rsidR="00420865" w:rsidRPr="00A505E5" w:rsidRDefault="00420865" w:rsidP="0051273A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prowadzenie spraw związanych z indywidualnym ubezpieczeniem pracowników,</w:t>
      </w:r>
    </w:p>
    <w:p w:rsidR="00420865" w:rsidRPr="00A505E5" w:rsidRDefault="00420865" w:rsidP="0051273A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wykonywanie innych niewymienionych wyżej zadań, które wynikają z mocy prawa lub przepisów wewnętrznych, wydanych przez kierownika jednostki.</w:t>
      </w:r>
    </w:p>
    <w:p w:rsidR="001F35E5" w:rsidRPr="00A505E5" w:rsidRDefault="001F35E5" w:rsidP="00937B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84B20" w:rsidRPr="00A505E5" w:rsidRDefault="00F24C0E" w:rsidP="0051273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="00584B20" w:rsidRPr="00A505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Wymagane dokumenty:</w:t>
      </w:r>
    </w:p>
    <w:p w:rsidR="00584B20" w:rsidRPr="00A505E5" w:rsidRDefault="009F7081" w:rsidP="0051273A">
      <w:pPr>
        <w:numPr>
          <w:ilvl w:val="0"/>
          <w:numId w:val="1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 </w:t>
      </w:r>
      <w:r w:rsidR="00584B20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</w:t>
      </w:r>
      <w:r w:rsidR="0051273A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4B20" w:rsidRPr="00A505E5" w:rsidRDefault="009F7081" w:rsidP="0051273A">
      <w:pPr>
        <w:numPr>
          <w:ilvl w:val="0"/>
          <w:numId w:val="1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 </w:t>
      </w:r>
      <w:r w:rsidR="00584B20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584B20" w:rsidRPr="00A505E5" w:rsidRDefault="009F7081" w:rsidP="0051273A">
      <w:pPr>
        <w:numPr>
          <w:ilvl w:val="0"/>
          <w:numId w:val="1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 </w:t>
      </w:r>
      <w:r w:rsidR="00584B20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osobowy,</w:t>
      </w:r>
    </w:p>
    <w:p w:rsidR="00584B20" w:rsidRPr="00A505E5" w:rsidRDefault="00584B20" w:rsidP="0051273A">
      <w:pPr>
        <w:numPr>
          <w:ilvl w:val="0"/>
          <w:numId w:val="1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 poświadczające wykształcenie,</w:t>
      </w:r>
    </w:p>
    <w:p w:rsidR="00A13379" w:rsidRPr="00A505E5" w:rsidRDefault="00A13379" w:rsidP="00A13379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lub innych dokumentów potwierdzających doświadczenie zawodowe kandydata,</w:t>
      </w:r>
    </w:p>
    <w:p w:rsidR="00584B20" w:rsidRPr="00A505E5" w:rsidRDefault="00584B20" w:rsidP="0051273A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o posiadanych uprawnieniach, kwalifikacjach i umiejętnościach, kserokopia prawa jazdy,</w:t>
      </w:r>
    </w:p>
    <w:p w:rsidR="00584B20" w:rsidRPr="00A505E5" w:rsidRDefault="00584B20" w:rsidP="0051273A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</w:t>
      </w:r>
      <w:r w:rsidR="00420865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pod odpowiedzialnością karną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o korzystaniu z pełni praw publicznych i o niekaralności za p</w:t>
      </w:r>
      <w:r w:rsidR="00C962DE">
        <w:rPr>
          <w:rFonts w:ascii="Times New Roman" w:eastAsia="Times New Roman" w:hAnsi="Times New Roman" w:cs="Times New Roman"/>
          <w:sz w:val="24"/>
          <w:szCs w:val="24"/>
          <w:lang w:eastAsia="pl-PL"/>
        </w:rPr>
        <w:t>rzestępstwa popełnione umyślnie,</w:t>
      </w:r>
    </w:p>
    <w:p w:rsidR="00584B20" w:rsidRPr="00A505E5" w:rsidRDefault="00584B20" w:rsidP="0051273A">
      <w:pPr>
        <w:numPr>
          <w:ilvl w:val="0"/>
          <w:numId w:val="1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książeczki wojskowej w przypadku mężczyzn.</w:t>
      </w:r>
    </w:p>
    <w:p w:rsidR="00583ADE" w:rsidRPr="00A505E5" w:rsidRDefault="00583ADE" w:rsidP="0051273A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ADE" w:rsidRPr="00A505E5" w:rsidRDefault="00583ADE" w:rsidP="00937B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BCA" w:rsidRPr="00A505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584B20" w:rsidRPr="00A505E5" w:rsidRDefault="00584B20" w:rsidP="00584B2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B20" w:rsidRPr="00A505E5" w:rsidRDefault="00584B20" w:rsidP="0051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składać osobiście w siedzibie Urzędu</w:t>
      </w:r>
      <w:r w:rsidR="003E230D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51273A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3E230D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73A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F24C0E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w Stepnicy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, pocztą elektroniczną</w:t>
      </w:r>
      <w:r w:rsidR="003E230D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E-puap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</w:t>
      </w:r>
      <w:r w:rsidR="003E230D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skrytki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30D" w:rsidRPr="00A505E5">
        <w:rPr>
          <w:rFonts w:ascii="Times New Roman" w:eastAsia="Calibri" w:hAnsi="Times New Roman" w:cs="Times New Roman"/>
          <w:bCs/>
          <w:sz w:val="24"/>
          <w:szCs w:val="24"/>
        </w:rPr>
        <w:t>/3q8u1mx0rk/SkrytkaESP</w:t>
      </w:r>
      <w:r w:rsidR="003E230D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</w:t>
      </w:r>
      <w:r w:rsidR="003E230D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 elektronicznego</w:t>
      </w:r>
      <w:r w:rsidR="007D7089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profilu zaufanego, a także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51273A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cztą tradycyjną na adres urzędu</w:t>
      </w:r>
      <w:r w:rsidR="00C60720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</w:t>
      </w:r>
      <w:r w:rsidR="00F24C0E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na wolne stanowisko urzędnicze </w:t>
      </w:r>
      <w:r w:rsidR="000A6E5F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otyczy naboru na stanowisko </w:t>
      </w:r>
      <w:r w:rsidR="004F0EBC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60720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łówny </w:t>
      </w:r>
      <w:r w:rsidR="004F0EBC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60720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sięgowy Urzędu</w:t>
      </w:r>
      <w:r w:rsidR="000A6E5F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1273A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</w:t>
      </w:r>
      <w:r w:rsidR="009E1A66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0720"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03.07.2017 r. </w:t>
      </w:r>
      <w:r w:rsidR="00900278" w:rsidRPr="00A50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15.30.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Aplikacje</w:t>
      </w:r>
      <w:r w:rsidR="006F45A3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17E7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F45A3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</w:t>
      </w:r>
      <w:r w:rsidR="000E17E7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</w:t>
      </w:r>
      <w:r w:rsidR="006F45A3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również, które wpłyną do urzędu po wyżej określonym terminie (decyduje data faktycznego wpływu do Urzędu)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rozpatrywane. </w:t>
      </w:r>
      <w:r w:rsidR="000E17E7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zakwalifikowani do kolejnego etapu rekrutacji zostaną poinformowani telefonicznie o jego terminie (proszę o podanie aktualnych numerów telefonów). Oferty odrzucone nie będą odsyłane kandydatom.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r w:rsidR="006F45A3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rmacja o wyniku naboru zostanie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umieszczona na stronie internetowej Biuletynu Informacji Publicznej oraz na tablicy ogłoszeń w Urzędzie </w:t>
      </w:r>
      <w:r w:rsidR="007D7089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Stepnica.</w:t>
      </w:r>
    </w:p>
    <w:p w:rsidR="00584B20" w:rsidRPr="00A505E5" w:rsidRDefault="00584B20" w:rsidP="00584B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B20" w:rsidRPr="00A505E5" w:rsidRDefault="00584B20" w:rsidP="0051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aplikacyjne: list motywacyjny i CV powinny być</w:t>
      </w:r>
      <w:r w:rsidR="00724B17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</w:t>
      </w:r>
      <w:r w:rsidR="009F7081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73A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7081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opatrzone klauzulą: </w:t>
      </w:r>
      <w:r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„Wyrażam zgodę na przetwarzanie moich danych osobowych zawartych w ofercie pracy dla potrzeb niezbędnych do realizacji procesu rekrutacji zgodnie z ustawą z dnia 29 sierpnia 1997 roku -  o ochronie danych osobowych (Dz. U. z </w:t>
      </w:r>
      <w:r w:rsidR="0051273A"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2016</w:t>
      </w:r>
      <w:r w:rsidR="006F45A3"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roku </w:t>
      </w:r>
      <w:r w:rsidR="0051273A"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poz. 922</w:t>
      </w:r>
      <w:r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 oraz ustawą z dnia 21 listopada 2008 roku  o pracownikach samorządowych (</w:t>
      </w:r>
      <w:r w:rsidR="0051273A"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Dz. U. z 2016</w:t>
      </w:r>
      <w:r w:rsidR="009D65EB"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poz. </w:t>
      </w:r>
      <w:r w:rsidR="0051273A"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902</w:t>
      </w:r>
      <w:r w:rsidR="009D65EB" w:rsidRPr="00A505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</w:p>
    <w:p w:rsidR="00584B20" w:rsidRPr="00A505E5" w:rsidRDefault="00584B20" w:rsidP="00584B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C0E" w:rsidRPr="00A505E5" w:rsidRDefault="00584B20" w:rsidP="0051273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Stepnica, dnia </w:t>
      </w:r>
      <w:r w:rsidR="00233C5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C60720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.06.2017</w:t>
      </w:r>
      <w:r w:rsidR="00F2692C"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05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24C0E" w:rsidRPr="00A505E5" w:rsidRDefault="00F24C0E" w:rsidP="00584B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C0E" w:rsidRPr="00A505E5" w:rsidRDefault="00F24C0E" w:rsidP="00584B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B20" w:rsidRPr="00A505E5" w:rsidRDefault="00602A54" w:rsidP="00602A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 Wyganowski</w:t>
      </w:r>
    </w:p>
    <w:p w:rsidR="00C74F7C" w:rsidRDefault="00C74F7C" w:rsidP="00602A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02A54" w:rsidRPr="00A505E5" w:rsidRDefault="00602A54" w:rsidP="00602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Burmistrz Miasta i Gminy Stepnica</w:t>
      </w:r>
    </w:p>
    <w:sectPr w:rsidR="00602A54" w:rsidRPr="00A505E5" w:rsidSect="00A133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92" w:rsidRDefault="00B33C92" w:rsidP="006F45A3">
      <w:pPr>
        <w:spacing w:after="0" w:line="240" w:lineRule="auto"/>
      </w:pPr>
      <w:r>
        <w:separator/>
      </w:r>
    </w:p>
  </w:endnote>
  <w:endnote w:type="continuationSeparator" w:id="0">
    <w:p w:rsidR="00B33C92" w:rsidRDefault="00B33C92" w:rsidP="006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92" w:rsidRDefault="00B33C92" w:rsidP="006F45A3">
      <w:pPr>
        <w:spacing w:after="0" w:line="240" w:lineRule="auto"/>
      </w:pPr>
      <w:r>
        <w:separator/>
      </w:r>
    </w:p>
  </w:footnote>
  <w:footnote w:type="continuationSeparator" w:id="0">
    <w:p w:rsidR="00B33C92" w:rsidRDefault="00B33C92" w:rsidP="006F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0D4"/>
    <w:multiLevelType w:val="hybridMultilevel"/>
    <w:tmpl w:val="D59EC92E"/>
    <w:lvl w:ilvl="0" w:tplc="D4EE5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CF6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6BC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1A64E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D1403"/>
    <w:multiLevelType w:val="hybridMultilevel"/>
    <w:tmpl w:val="EB9A2B8A"/>
    <w:lvl w:ilvl="0" w:tplc="34B6BA9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0A1C11"/>
    <w:multiLevelType w:val="hybridMultilevel"/>
    <w:tmpl w:val="AA3C3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12D"/>
    <w:multiLevelType w:val="hybridMultilevel"/>
    <w:tmpl w:val="3684F35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915F01"/>
    <w:multiLevelType w:val="hybridMultilevel"/>
    <w:tmpl w:val="26F871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B2C8B"/>
    <w:multiLevelType w:val="singleLevel"/>
    <w:tmpl w:val="3AD8D7BA"/>
    <w:lvl w:ilvl="0">
      <w:start w:val="19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DA08A7"/>
    <w:multiLevelType w:val="hybridMultilevel"/>
    <w:tmpl w:val="A9EA0DC4"/>
    <w:lvl w:ilvl="0" w:tplc="D8FE35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004A1C"/>
    <w:multiLevelType w:val="hybridMultilevel"/>
    <w:tmpl w:val="1F7E7E2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53B2C"/>
    <w:multiLevelType w:val="hybridMultilevel"/>
    <w:tmpl w:val="6B48247A"/>
    <w:lvl w:ilvl="0" w:tplc="2BC6B48A">
      <w:start w:val="1"/>
      <w:numFmt w:val="lowerLetter"/>
      <w:lvlText w:val="%1)"/>
      <w:lvlJc w:val="center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F2A99"/>
    <w:multiLevelType w:val="hybridMultilevel"/>
    <w:tmpl w:val="F75AD2A6"/>
    <w:lvl w:ilvl="0" w:tplc="E396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67D64"/>
    <w:multiLevelType w:val="singleLevel"/>
    <w:tmpl w:val="7144AE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1" w15:restartNumberingAfterBreak="0">
    <w:nsid w:val="786A3A50"/>
    <w:multiLevelType w:val="hybridMultilevel"/>
    <w:tmpl w:val="F75AD2A6"/>
    <w:lvl w:ilvl="0" w:tplc="E396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32F3B"/>
    <w:multiLevelType w:val="singleLevel"/>
    <w:tmpl w:val="1CA4464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A0"/>
    <w:rsid w:val="000352FF"/>
    <w:rsid w:val="00052525"/>
    <w:rsid w:val="00053F78"/>
    <w:rsid w:val="000656D9"/>
    <w:rsid w:val="00080411"/>
    <w:rsid w:val="000A6E5F"/>
    <w:rsid w:val="000B053B"/>
    <w:rsid w:val="000B4F13"/>
    <w:rsid w:val="000C1AC2"/>
    <w:rsid w:val="000E17E7"/>
    <w:rsid w:val="001827F6"/>
    <w:rsid w:val="001C4F73"/>
    <w:rsid w:val="001F35E5"/>
    <w:rsid w:val="00233C5B"/>
    <w:rsid w:val="00254282"/>
    <w:rsid w:val="002704C8"/>
    <w:rsid w:val="003E230D"/>
    <w:rsid w:val="00420865"/>
    <w:rsid w:val="00471625"/>
    <w:rsid w:val="00472861"/>
    <w:rsid w:val="004F0EBC"/>
    <w:rsid w:val="0051273A"/>
    <w:rsid w:val="00546FB1"/>
    <w:rsid w:val="00583ADE"/>
    <w:rsid w:val="00584B20"/>
    <w:rsid w:val="005D78E0"/>
    <w:rsid w:val="00602A54"/>
    <w:rsid w:val="00696CD3"/>
    <w:rsid w:val="006C226A"/>
    <w:rsid w:val="006F45A3"/>
    <w:rsid w:val="00705C34"/>
    <w:rsid w:val="00724B17"/>
    <w:rsid w:val="00757641"/>
    <w:rsid w:val="0076279C"/>
    <w:rsid w:val="0078074A"/>
    <w:rsid w:val="00784256"/>
    <w:rsid w:val="007D7089"/>
    <w:rsid w:val="008F4141"/>
    <w:rsid w:val="00900278"/>
    <w:rsid w:val="0093598B"/>
    <w:rsid w:val="00937BCA"/>
    <w:rsid w:val="009D65EB"/>
    <w:rsid w:val="009E1A66"/>
    <w:rsid w:val="009F7081"/>
    <w:rsid w:val="00A12F60"/>
    <w:rsid w:val="00A13379"/>
    <w:rsid w:val="00A409E5"/>
    <w:rsid w:val="00A505E5"/>
    <w:rsid w:val="00A77907"/>
    <w:rsid w:val="00AE6619"/>
    <w:rsid w:val="00B33C92"/>
    <w:rsid w:val="00BC0E75"/>
    <w:rsid w:val="00BC6021"/>
    <w:rsid w:val="00BD2735"/>
    <w:rsid w:val="00C01B06"/>
    <w:rsid w:val="00C17AF0"/>
    <w:rsid w:val="00C234A0"/>
    <w:rsid w:val="00C60720"/>
    <w:rsid w:val="00C74F7C"/>
    <w:rsid w:val="00C962DE"/>
    <w:rsid w:val="00CF2384"/>
    <w:rsid w:val="00D80F89"/>
    <w:rsid w:val="00E44EDE"/>
    <w:rsid w:val="00E54171"/>
    <w:rsid w:val="00E6627B"/>
    <w:rsid w:val="00E83603"/>
    <w:rsid w:val="00EF71E2"/>
    <w:rsid w:val="00F24C0E"/>
    <w:rsid w:val="00F2692C"/>
    <w:rsid w:val="00F658FB"/>
    <w:rsid w:val="00FC7CC0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7FD3"/>
  <w15:docId w15:val="{37107A54-8E20-4C95-96A2-39AC5341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4C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0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5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5A3"/>
    <w:rPr>
      <w:vertAlign w:val="superscript"/>
    </w:rPr>
  </w:style>
  <w:style w:type="paragraph" w:customStyle="1" w:styleId="p1">
    <w:name w:val="p1"/>
    <w:basedOn w:val="Normalny"/>
    <w:rsid w:val="000656D9"/>
    <w:pPr>
      <w:spacing w:after="15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0656D9"/>
    <w:pPr>
      <w:spacing w:after="15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9700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0958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63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Rogalska</dc:creator>
  <cp:keywords/>
  <dc:description/>
  <cp:lastModifiedBy>Dorota Bednarczyk</cp:lastModifiedBy>
  <cp:revision>2</cp:revision>
  <cp:lastPrinted>2017-06-19T12:04:00Z</cp:lastPrinted>
  <dcterms:created xsi:type="dcterms:W3CDTF">2017-06-21T13:00:00Z</dcterms:created>
  <dcterms:modified xsi:type="dcterms:W3CDTF">2017-06-21T13:00:00Z</dcterms:modified>
</cp:coreProperties>
</file>